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6C" w:rsidRDefault="006A106C" w:rsidP="006A1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6C" w:rsidRDefault="006A106C" w:rsidP="006A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МАЯКСКОГО СЕЛЬСКОГО ПОСЕЛЕНИЯ</w:t>
      </w:r>
    </w:p>
    <w:p w:rsidR="006A106C" w:rsidRDefault="006A106C" w:rsidP="006A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ОКТЯБРЬСКОГО  МУНИЦИПАЛЬНОГО  РАЙОН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</w:p>
    <w:p w:rsidR="006A106C" w:rsidRDefault="006A106C" w:rsidP="006A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 ОБЛАСТИ</w:t>
      </w:r>
    </w:p>
    <w:p w:rsidR="006A106C" w:rsidRPr="006A106C" w:rsidRDefault="006A106C" w:rsidP="006A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4E30DA">
        <w:rPr>
          <w:rFonts w:ascii="Times New Roman" w:hAnsi="Times New Roman"/>
          <w:b/>
          <w:sz w:val="28"/>
          <w:szCs w:val="28"/>
        </w:rPr>
        <w:t>Е</w:t>
      </w:r>
    </w:p>
    <w:p w:rsidR="006A106C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3D6D38" w:rsidRDefault="00B42B12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от  21. 07. 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2020 </w:t>
      </w:r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г.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51</w:t>
      </w:r>
    </w:p>
    <w:p w:rsidR="006A106C" w:rsidRPr="003D6D38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D6D38" w:rsidRPr="006A106C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106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О создании антитеррористической комиссии</w:t>
      </w:r>
    </w:p>
    <w:p w:rsidR="003D6D38" w:rsidRPr="006A106C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на территории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Маякского</w:t>
      </w:r>
      <w:proofErr w:type="spellEnd"/>
      <w:r w:rsidR="003D6D38" w:rsidRPr="006A106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поселения,</w:t>
      </w:r>
    </w:p>
    <w:p w:rsidR="007B2276" w:rsidRDefault="007B2276" w:rsidP="003D6D3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по профилактике терроризма и экстремизма, </w:t>
      </w:r>
    </w:p>
    <w:p w:rsidR="003D6D38" w:rsidRPr="006A106C" w:rsidRDefault="00CF303B" w:rsidP="003D6D3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об утверждении </w:t>
      </w:r>
      <w:r w:rsidR="003D6D38" w:rsidRPr="006A106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положения, регламента</w:t>
      </w:r>
    </w:p>
    <w:p w:rsid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6A106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антитеррористической комиссии</w:t>
      </w:r>
    </w:p>
    <w:p w:rsidR="006A106C" w:rsidRPr="006A106C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D6D38" w:rsidRPr="003D6D38" w:rsidRDefault="003D6D38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Федеральными законами от 06.10.2003</w:t>
      </w:r>
      <w:r w:rsidR="004E30D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г.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hyperlink r:id="rId5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N 131-ФЗ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4E30D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«Об общих принципах организации местного самоуправления в Российской Федерации», от 06.03.2006 </w:t>
      </w:r>
      <w:hyperlink r:id="rId6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N 35-ФЗ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«О противодействии 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терроризму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»,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hyperlink r:id="rId7" w:history="1">
        <w:r w:rsidRPr="003D6D3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Указом</w:t>
        </w:r>
      </w:hyperlink>
      <w:r w:rsidR="006A106C">
        <w:t xml:space="preserve"> </w:t>
      </w:r>
      <w:r w:rsidRPr="003D6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Президента Российской Федерации от 15.02.2006 N 116 «О мерах по противодействию терроризму», 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hyperlink r:id="rId8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Уставом</w:t>
        </w:r>
      </w:hyperlink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proofErr w:type="spellStart"/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в целях наиболее эффективного осуществления мер по профилактике террористических проявлений, минимизации и ликвидации их возможных 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последствий на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террит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ории  </w:t>
      </w:r>
      <w:proofErr w:type="spellStart"/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</w:t>
      </w:r>
    </w:p>
    <w:p w:rsid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ПОСТАНОВЛЯЮ:</w:t>
      </w:r>
    </w:p>
    <w:p w:rsidR="006A106C" w:rsidRPr="003D6D38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 xml:space="preserve">1.  Постановление главы администрации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от 14.04.2014 г. № 8/1 «О составе Межведомственной комиссии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вопросами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противодействия проявления экстремизма на территории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поселения»  отменить.</w:t>
      </w:r>
    </w:p>
    <w:p w:rsidR="003D6D38" w:rsidRPr="003D6D38" w:rsidRDefault="00C972DB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. Утвердить прилагаемое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hyperlink r:id="rId9" w:anchor="Par116" w:history="1">
        <w:r w:rsidR="003D6D38"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Положение</w:t>
        </w:r>
      </w:hyperlink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об антитеррор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истической комиссии  </w:t>
      </w:r>
      <w:proofErr w:type="spellStart"/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приложение № 1.</w:t>
      </w:r>
    </w:p>
    <w:p w:rsidR="003D6D38" w:rsidRDefault="00C972DB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3D6D38" w:rsidRPr="003D6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Утвердить прилагаемый </w:t>
      </w:r>
      <w:hyperlink r:id="rId10" w:anchor="Par176" w:history="1">
        <w:r w:rsidR="003D6D38" w:rsidRPr="003D6D3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Регламент</w:t>
        </w:r>
      </w:hyperlink>
      <w:r w:rsidR="006A106C">
        <w:t xml:space="preserve"> </w:t>
      </w:r>
      <w:r w:rsidR="003D6D38" w:rsidRPr="003D6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антитеррористической комиссии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proofErr w:type="spellStart"/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приложение № 2</w:t>
      </w:r>
    </w:p>
    <w:p w:rsidR="00C972DB" w:rsidRPr="003D6D38" w:rsidRDefault="00C972DB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 Утвердить прилагаемый план</w:t>
      </w:r>
      <w:r w:rsidR="001A159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мероприятий по профилактике терроризма и экстремизма на территории </w:t>
      </w:r>
      <w:proofErr w:type="spellStart"/>
      <w:r w:rsidR="001A1590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1A159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поселения. Приложение № 3.</w:t>
      </w:r>
    </w:p>
    <w:p w:rsidR="003D6D38" w:rsidRPr="003D6D38" w:rsidRDefault="00C972DB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Настоящее постановление вступает 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>в силу с момента его подписания.</w:t>
      </w:r>
    </w:p>
    <w:p w:rsidR="003D6D38" w:rsidRDefault="00C972DB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</w:t>
      </w:r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gramStart"/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6A106C" w:rsidRDefault="00C972DB" w:rsidP="006A106C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Настоящее постановление разместить на сайте администрации </w:t>
      </w:r>
      <w:proofErr w:type="spellStart"/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6A1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поселения.</w:t>
      </w:r>
    </w:p>
    <w:p w:rsidR="006A106C" w:rsidRPr="003D6D38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72DB" w:rsidRDefault="006A106C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Б.Я.Хатынов</w:t>
      </w:r>
      <w:proofErr w:type="spellEnd"/>
    </w:p>
    <w:p w:rsidR="001A1590" w:rsidRDefault="001A1590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D02DB" w:rsidRDefault="00FD0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D6D38" w:rsidRPr="003D6D38" w:rsidRDefault="001A1590" w:rsidP="001A1590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Приложение № 1</w:t>
      </w:r>
    </w:p>
    <w:p w:rsidR="003D6D38" w:rsidRPr="003D6D38" w:rsidRDefault="003D6D38" w:rsidP="00EB2B6C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Par110"/>
      <w:bookmarkEnd w:id="0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Утверждено</w:t>
      </w:r>
    </w:p>
    <w:p w:rsidR="003D6D38" w:rsidRPr="003D6D38" w:rsidRDefault="003D6D38" w:rsidP="00EB2B6C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Постановлением администрации</w:t>
      </w:r>
    </w:p>
    <w:p w:rsidR="003D6D38" w:rsidRPr="003D6D38" w:rsidRDefault="00EB2B6C" w:rsidP="00EB2B6C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сельское поселение</w:t>
      </w:r>
    </w:p>
    <w:p w:rsidR="003D6D38" w:rsidRPr="003D6D38" w:rsidRDefault="003D6D38" w:rsidP="00EB2B6C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от </w:t>
      </w:r>
      <w:r w:rsidR="00B42B12">
        <w:rPr>
          <w:rFonts w:ascii="Times New Roman" w:eastAsia="Times New Roman" w:hAnsi="Times New Roman" w:cs="Times New Roman"/>
          <w:color w:val="444444"/>
          <w:sz w:val="28"/>
          <w:szCs w:val="28"/>
        </w:rPr>
        <w:t>21.07.2020 г № 51</w:t>
      </w:r>
    </w:p>
    <w:p w:rsidR="003D6D38" w:rsidRPr="003D6D38" w:rsidRDefault="003D6D38" w:rsidP="00EB2B6C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1" w:name="Par116"/>
      <w:bookmarkEnd w:id="1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ПОЛОЖЕНИЕ</w:t>
      </w:r>
    </w:p>
    <w:p w:rsidR="003D6D38" w:rsidRPr="003D6D38" w:rsidRDefault="003D6D38" w:rsidP="00EB2B6C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ОБ АНТИТЕРРОР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ИСТИЧЕСКОЙ КОМИССИИ МАЯКСКОГО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2" w:name="Par119"/>
      <w:bookmarkEnd w:id="2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 Общие положения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1.1. Настоящее Положение разработано в соответствии с Федеральными законами от 06.10.2003 </w:t>
      </w:r>
      <w:hyperlink r:id="rId11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N 131-ФЗ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«Об общих принципах организации местного самоуправления в Российской Федерации», от 06.03.2006 </w:t>
      </w:r>
      <w:hyperlink r:id="rId12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N 35-ФЗ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«О противодействии терроризму», </w:t>
      </w:r>
      <w:hyperlink r:id="rId13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Указом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Президента Российской Федерации от 15.02.2006 N 116 «О мерах по противодействию терроризму».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1.2.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Антитеррор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истическая комиссия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(далее Комиссия) является постоянно действующим координирующим органом, обеспечивающим взаи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модействие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 и ведомственной принадлежности, общественных объединений (в рамках их компетенции), при решении вопросов участия в профилактике терроризма, а также минимизации и ликвидации последствий их проявлений.</w:t>
      </w:r>
      <w:proofErr w:type="gramEnd"/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1.3. Комиссия обеспечивает участие всех органи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заций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в профилактике терроризма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экстремизма</w:t>
      </w:r>
      <w:proofErr w:type="gram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 также минимизации и ликвидации последствий их проявлений.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1.4.Комиссия в своей деятельности руководствуется </w:t>
      </w:r>
      <w:hyperlink r:id="rId14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Конституцией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EB2B6C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1.5. Председателем Коми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ссии является Глава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bookmarkStart w:id="3" w:name="Par127"/>
      <w:bookmarkEnd w:id="3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 Основные задачи Комиссии: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2.1. Основными задачами Комиссии являются: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а) организация взаимодей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ствия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 и ведомственной принадлежности, общественных объединений (в рамках их компетенции) при решении вопросов участия в профилактике терроризма и экстремизма, а также минимизации и ликвидации последствий их проявлений;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б) участие в реализации государственной политики в сфере противодействия терро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ризму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а также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подготовке предложений АТК по совершенствованию деятельности в данной области;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в) мониторинг политических, социально-экономических и иных проц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ессов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оказывающих влияние на ситуацию в сфере противодействия терроризму, экстремизму;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г) участие в разработке мер по профилактике терроризма и экстре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мизма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устранению причин и условий, способствующих их проявлению, обеспечению защищенности объектов возможных террористических посягательств, минимизации и ликвидации их последствий,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реализацией этих мер;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) подготовка проектов постановлений, распоря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жений администрации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по организации взаимодействия подразделений территориальных органов федеральных органов исполнительной власти, органов местного самоуправления, организаций и общественных объединений (в рамках их компетенции), в целях повышения эффективности принимаемых ими мер по профилактике проявлений терроризма и экстремизма, минимизации и ликвидации их посл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едствий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поселения;</w:t>
      </w:r>
      <w:proofErr w:type="gramEnd"/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е) анализ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эффективности работы подразделений территориальных органов федеральных органов исполнительной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власти, органов местного самоуправления, хозяйствующих субъектов, общественных объединений (в рамках их компетенции) по участию в профилактике терроризма и экстремизма, минимизации и ликвидации последствий их проявлений;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ж) иные задачи, вытекающие из решений АТК, в сфере противодействия терроризму и экстремизму в рамках компетенции органов местного самоуправления.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4" w:name="Par138"/>
      <w:bookmarkEnd w:id="4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 Права Комиссии: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3.1. Для осуществления своих задач Комиссия имеет право: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а) принимать в пределах своей компетенции решения, касающиеся совершенствования взаимодействия подразделений территориальных органов федеральных органов исполнительной власти, органов местного самоуправления и иных организаций в сфере противодействия терроризму и экст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ремизму на территории  </w:t>
      </w:r>
      <w:proofErr w:type="spellStart"/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б) 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собственности, общественных объединений и должностных лиц;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в)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</w:t>
      </w:r>
      <w:r w:rsidR="00EB2B6C">
        <w:rPr>
          <w:rFonts w:ascii="Times New Roman" w:eastAsia="Times New Roman" w:hAnsi="Times New Roman" w:cs="Times New Roman"/>
          <w:color w:val="444444"/>
          <w:sz w:val="28"/>
          <w:szCs w:val="28"/>
        </w:rPr>
        <w:t>олнительной власти Челябинской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области, органов местного самоуправления, а также представителей организаций и общественных объединений;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г) создавать рабочие органы для изучения вопросов, касающихся участия в профилактике терроризма и экстремизма, минимизации и ликвидации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последствий их проявлений, а также для подготовки соответствующих решений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5" w:name="Par147"/>
      <w:bookmarkEnd w:id="5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 Организация работы Комиссии: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4.1. Комиссия осуществляет свою деятельность на плановой основе в соответствии с </w:t>
      </w:r>
      <w:hyperlink r:id="rId15" w:anchor="Par176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регламентом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, утверждаемым постановл</w:t>
      </w:r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ением администрации </w:t>
      </w:r>
      <w:proofErr w:type="spellStart"/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4.2. Комиссия принимает решения в рамках своей компетенции.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4.3.Для реализации решений Комиссии могут издаваться постановления и распоря</w:t>
      </w:r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жения администрации  </w:t>
      </w:r>
      <w:proofErr w:type="spellStart"/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192EAE">
        <w:rPr>
          <w:rFonts w:ascii="Times New Roman" w:eastAsia="Times New Roman" w:hAnsi="Times New Roman" w:cs="Times New Roman"/>
          <w:color w:val="444444"/>
          <w:sz w:val="28"/>
          <w:szCs w:val="28"/>
        </w:rPr>
        <w:t>.4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.Комиссия осуществляет свою деятельность во взаимодействии с территориальными органами федеральных органов исполнительной власти, органами местного самоуправления, организациями и общественными объединениями на территории сельского поселения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3D6D38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4.5</w:t>
      </w:r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. По решению председателя Комиссии в ее состав включаются должностные лица подразделений территориальных органов федеральных органов исполнительной власти (по согласованию), органов местного самоуправления, организаций и общественных объединений (с их согласия). На заседания Комиссии могут приглашаться представители хозяйствующих субъектов независимо от форм собственности, организаций и общественных объединений.</w:t>
      </w: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92EAE" w:rsidRDefault="00192EAE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D02DB" w:rsidRDefault="00FD0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D02DB" w:rsidRPr="003D6D38" w:rsidRDefault="00FD0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A1590" w:rsidRDefault="001A1590" w:rsidP="00192EAE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6" w:name="Par170"/>
      <w:bookmarkEnd w:id="6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Приложение № 2</w:t>
      </w:r>
    </w:p>
    <w:p w:rsidR="003D6D38" w:rsidRPr="003D6D38" w:rsidRDefault="003D6D38" w:rsidP="00192EAE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Утверждено</w:t>
      </w:r>
    </w:p>
    <w:p w:rsidR="003D6D38" w:rsidRPr="003D6D38" w:rsidRDefault="003D6D38" w:rsidP="00192EAE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Постановлением администрации</w:t>
      </w:r>
    </w:p>
    <w:p w:rsidR="003D6D38" w:rsidRPr="003D6D38" w:rsidRDefault="00192EAE" w:rsidP="00192EAE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="003D6D38"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сельское поселение</w:t>
      </w:r>
    </w:p>
    <w:p w:rsidR="003D6D38" w:rsidRPr="003D6D38" w:rsidRDefault="00B42B12" w:rsidP="00192EAE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 21.07.2020 г. N 51</w:t>
      </w:r>
    </w:p>
    <w:p w:rsidR="003D6D38" w:rsidRPr="003D6D38" w:rsidRDefault="003D6D38" w:rsidP="00192EAE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7" w:name="Par176"/>
      <w:bookmarkEnd w:id="7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РЕГЛАМЕНТ</w:t>
      </w:r>
    </w:p>
    <w:p w:rsidR="003D6D38" w:rsidRPr="003D6D38" w:rsidRDefault="003D6D38" w:rsidP="00192EAE">
      <w:pPr>
        <w:pStyle w:val="a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АНТИТЕРРОР</w:t>
      </w:r>
      <w:r w:rsidR="00192EA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ИСТИЧЕСКОЙ КОМИССИИ МАЯКСКОГО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8" w:name="Par179"/>
      <w:bookmarkEnd w:id="8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1. Общие положения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1.1. Настоящий Регламент разработан на основании положений Федеральных законов от 06.10.2003 </w:t>
      </w:r>
      <w:hyperlink r:id="rId16" w:history="1">
        <w:r w:rsidRPr="003D6D3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 131-ФЗ</w:t>
        </w:r>
      </w:hyperlink>
      <w:r w:rsidRPr="003D6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Об общих принципах организации местного самоуправления в Российской Федерации», от 06.03.2006 </w:t>
      </w:r>
      <w:hyperlink r:id="rId17" w:history="1">
        <w:r w:rsidRPr="003D6D3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 35-ФЗ</w:t>
        </w:r>
      </w:hyperlink>
      <w:r w:rsidRPr="003D6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О противодействии терроризму», </w:t>
      </w:r>
      <w:hyperlink r:id="rId18" w:history="1">
        <w:r w:rsidRPr="003D6D3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Указа</w:t>
        </w:r>
      </w:hyperlink>
      <w:r w:rsidRPr="003D6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Президента Российской Федерации от 15.02.2006 N 116 «О мерах по противодействию</w:t>
      </w:r>
    </w:p>
    <w:p w:rsidR="001A1590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терроризму» и устанавливает общие правила организации работы антитеррористической комиссии</w:t>
      </w:r>
      <w:r w:rsidR="001A159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реализации ее полномочий, закрепленных в </w:t>
      </w:r>
      <w:hyperlink r:id="rId19" w:anchor="Par116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Положении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об антитеррористической комиссии. 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Утверждено постановл</w:t>
      </w:r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ением администрации  </w:t>
      </w:r>
      <w:proofErr w:type="spellStart"/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="00B42B12">
        <w:rPr>
          <w:rFonts w:ascii="Times New Roman" w:eastAsia="Times New Roman" w:hAnsi="Times New Roman" w:cs="Times New Roman"/>
          <w:color w:val="444444"/>
          <w:sz w:val="28"/>
          <w:szCs w:val="28"/>
        </w:rPr>
        <w:t>ельского поселения от 21.07</w:t>
      </w:r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>.2020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г. N (далее — Положение).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9" w:name="Par184"/>
      <w:bookmarkEnd w:id="9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1.2. Основные направления деятельности Комиссии изложены в </w:t>
      </w:r>
      <w:hyperlink r:id="rId20" w:anchor="Par116" w:history="1">
        <w:r w:rsidRPr="003D6D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Положении</w:t>
        </w:r>
      </w:hyperlink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 об антитеррористической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2. Полномочия председателя и членов Комиссии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2.1.Председатель Комиссии осуществляет общее руководство деятельностью Комиссии,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отнесенным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ее компетенции, ведет заседания Комиссии, подписывает протоколы ее заседаний, распределяет обязанности между членами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2.2. В отсутствие председателя Комиссии ее работой руководит заместитель председателя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2.3. Секретарь Комиссии обеспечивает взаимодействие К</w:t>
      </w:r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омиссии с аппаратом АТК Октябрьского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муниципального района по вопросам компетенции Комиссии с подразделениями территориальных органов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 и должностными лицами.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2.4. Члены Комиссии обладают равными правами при подготовке и обсуждении рассматриваемых на заседании вопросов, при принятии решений.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2.5. Члены Комиссии имеют право: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б) голосовать на заседаниях Комиссии;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в) знакомиться с документами и материалами Комиссии, непосредственно касающимися ее деятельности в участии в противодействии терроризму и экстремизму, минимизации и ликвидации их последствий;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г)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)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2.6. Член Комиссии обязан: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б) присутствовать на заседаниях Комиссии;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в) организовывать в рамках своих должностных полномочий выполнение решений Комиссии;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г) выполнять требования нормативных правовых актов, устанавливающих правила организации работы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2.7.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10" w:name="Par204"/>
      <w:bookmarkEnd w:id="10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3. Планирование и организация работы Комиссии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3.1. Заседания Комиссии проводятся в соответствии с планом. План составляется на год и утверждается председателем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 лиц.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3.4.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полугодия.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3.5. Утвержденный план заседаний Комиссии рассылается секретарем всем членам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3.6.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3.7.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11" w:name="Par214"/>
      <w:bookmarkEnd w:id="11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4. Порядок подготовки заседаний Комиссии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4.1.Члены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рассмотрения на заседаниях Комиссии, принимают участие в подготовке заседаний в соответствии с утвержденным планом заседаний Комиссии и несут ответственность за их качество и своевременность представления.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4.2.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4.3. Проект повестки дня заседания Комиссии уточняется в процессе подготовки к очередному заседанию и согласовывается секретарем АТК с председателем Комиссии. Повестка дня заседания Комиссии утверждается непосредственно на заседании.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4.5.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своевременностью подготовки и представления материалов, для рассмотрения на заседаниях Комиссии осуществляется секретарем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4.7. Одобренные председателем Комиссии проект протокольного решения, повестка дня заседания и соответствующие материалы рассылаются членам Комиссии и участникам заседания.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4.8. В случае если для реализации решений Комиссии требуется принятие постановлений или расп</w:t>
      </w:r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оряжений администрации  </w:t>
      </w:r>
      <w:proofErr w:type="spellStart"/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 одновременно с подготовкой материалов к заседанию Комиссии соответствующим ор</w:t>
      </w:r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ганом администрации  </w:t>
      </w:r>
      <w:proofErr w:type="spellStart"/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разрабатываются и согласовываются в установленном порядке соответствующие проекты постановлений и распоряжений.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4.9. Секретарь Комиссии обеспечивает информирование членов Комиссии и лиц, приглашенных на заседание, о дате, времени и месте проведения заседания Комиссии, а также об их изменениях, если таковые происходят.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4.10.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4.11. На заседания Комиссии могут быть приглашены руководители подразделений территориальных органов федеральных органов исполнительной власти, органов</w:t>
      </w:r>
      <w:r w:rsidR="0040098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исполнительной власти  Октябрьского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района и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4.12. Состав приглашаемых на заседание Комиссии должностных лиц формируется секретарем Комиссии на основе предложений органов и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12" w:name="Par229"/>
      <w:bookmarkEnd w:id="12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5. Порядок проведения заседаний Комиссии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5.1. Заседание Комиссии считается правомочным, если на нем присутствует более половины ее членов.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5.2. Заседания проходят под председательством председателя Комиссии, который: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а) ведет заседание Комиссии;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б) организует обсуждение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вопросов повестки дня заседания Комиссии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в) предоставляет слово для выступления членам Комиссии, а также приглашенным лицам;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г) организует голосование и подсчет голосов, оглашает результаты голосования;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) обеспечивает соблюдение регламента заседаний Комиссии ее членами и приглашенными лицами.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Участвуя в голосовании, председатель Комиссии голосует последним.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5.3. С докладами на заседаниях Комиссии по вопросам его повестки выступают члены Комиссии либо по согласованию с председателем Комиссии лица, уполномоченные членами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5.4.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решению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5.5.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5.6. Результаты голосования, оглашенные председательствующим, вносятся в протокол.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13" w:name="Par247"/>
      <w:bookmarkEnd w:id="13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6. Оформление решений, принятых на заседаниях Комиссии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6.1. Решения Комиссии вносятся в протокол, который в 5-дневный срок после даты проведения заседания готовится секретарем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 К протоколу прилагаются особые мнения членов Комиссии, при наличии.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6.3.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6.4. Протоколы заседаний (выписки решений Комиссии) рассылаются секретарем Комиссии членам Комиссии, а также заинтересованным органам, </w:t>
      </w: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организациям и должностным лицам в трехдневный срок после подписания протокола председателем Комиссии.</w:t>
      </w:r>
    </w:p>
    <w:p w:rsidR="003D6D38" w:rsidRP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6.5. </w:t>
      </w:r>
      <w:proofErr w:type="gramStart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3D6D38" w:rsidRDefault="003D6D38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color w:val="444444"/>
          <w:sz w:val="28"/>
          <w:szCs w:val="28"/>
        </w:rPr>
        <w:t>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Комиссии, подготовленных ответственными за их реализацию должностными лицами.</w:t>
      </w: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72DB" w:rsidRDefault="00C97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72DB" w:rsidRDefault="00C97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72DB" w:rsidRDefault="00C97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72DB" w:rsidRDefault="00C97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72DB" w:rsidRDefault="00C972DB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D9302D" w:rsidP="003D6D38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02D" w:rsidRDefault="001A1590" w:rsidP="001A1590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Приложение № 3</w:t>
      </w:r>
    </w:p>
    <w:p w:rsidR="00D9302D" w:rsidRDefault="00D9302D" w:rsidP="00D9302D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</w:t>
      </w:r>
    </w:p>
    <w:p w:rsidR="00D9302D" w:rsidRDefault="00D9302D" w:rsidP="00D9302D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Постановлением администрации</w:t>
      </w:r>
    </w:p>
    <w:p w:rsidR="00D9302D" w:rsidRDefault="00D9302D" w:rsidP="00D9302D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Маякского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</w:t>
      </w:r>
    </w:p>
    <w:p w:rsidR="00D9302D" w:rsidRDefault="00B42B12" w:rsidP="00D9302D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 21.07.2020 г. № 51</w:t>
      </w:r>
    </w:p>
    <w:p w:rsidR="00D9302D" w:rsidRPr="003D6D38" w:rsidRDefault="00D9302D" w:rsidP="00D9302D">
      <w:pPr>
        <w:pStyle w:val="a3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A6EFA" w:rsidRDefault="001A6EFA" w:rsidP="00D930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02D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D9302D">
        <w:rPr>
          <w:rFonts w:ascii="Times New Roman" w:eastAsia="Times New Roman" w:hAnsi="Times New Roman" w:cs="Times New Roman"/>
          <w:sz w:val="28"/>
          <w:szCs w:val="28"/>
        </w:rPr>
        <w:br/>
        <w:t>мероприятий по профилактике терроризма и экстремизма</w:t>
      </w:r>
      <w:r w:rsidRPr="00D9302D">
        <w:rPr>
          <w:rFonts w:ascii="Times New Roman" w:eastAsia="Times New Roman" w:hAnsi="Times New Roman" w:cs="Times New Roman"/>
          <w:sz w:val="28"/>
          <w:szCs w:val="28"/>
        </w:rPr>
        <w:br/>
        <w:t>на тер</w:t>
      </w:r>
      <w:r w:rsidR="00D9302D"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proofErr w:type="spellStart"/>
      <w:r w:rsidR="00D9302D">
        <w:rPr>
          <w:rFonts w:ascii="Times New Roman" w:eastAsia="Times New Roman" w:hAnsi="Times New Roman" w:cs="Times New Roman"/>
          <w:sz w:val="28"/>
          <w:szCs w:val="28"/>
        </w:rPr>
        <w:t>Маякского</w:t>
      </w:r>
      <w:proofErr w:type="spellEnd"/>
      <w:r w:rsidR="00D930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2020</w:t>
      </w:r>
      <w:r w:rsidRPr="00D9302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A1590" w:rsidRPr="00D9302D" w:rsidRDefault="001A1590" w:rsidP="00D930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3438"/>
        <w:gridCol w:w="1587"/>
        <w:gridCol w:w="1631"/>
        <w:gridCol w:w="2342"/>
      </w:tblGrid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и учету всех действующих на территории поселения религиозных объединений, образовательных учреждений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составление реестра потенциально опасных объектов, расположенных на территории поселения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Б.Я., УУП  Викторов С.А.</w:t>
            </w:r>
            <w:r w:rsidR="001A6EFA"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правоохранительными структурами по передаче сведений о случаях экстремистской деятельности, где отсутствуют основания для привлечения к уголовной ответственности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 технической защищенности объектов социального назначения, мест массового скопления людей и опасных производственных объектов жизнеобеспечения, расположенных на территории поселения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  <w:r w:rsidR="001A6EFA"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(по согласованию)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объектов жилищно-коммунального хозяйства и иных объектов с целью ликвидации последствий экстремисткой деятельности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Б.Я., УУП  Викторов С.А.</w:t>
            </w:r>
            <w:r w:rsidR="001A6EFA"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общественными объединениями в целях организации гражданского контроля на печатание, издание фото-, </w:t>
            </w: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аудиоматериалов на предмет выявления в них экстремистских идей.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практических семинарах, совещаниях в районной администрации по вопросам обеспечения безопасности и противодействия экстремистской деятельности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районной межведомственной антитеррористической комиссии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личный прием граждан для сообщения фактов экстремистской деятельности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возможностей печатных и электронных СМИ развернуть среди населения информационно-пропагандистскую работу, направленную на развитие самосознания, создание нетерпимости к проявлениям экстремизма, а также формирование позитивного общественного отношения к деятельности органов правопорядка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EFA" w:rsidRPr="0040098D" w:rsidTr="00D9302D">
        <w:trPr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агитационных материалов на наличие признаков призыва к терроризму и экстремизму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предвыборные периоды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D9302D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Б.Я., УУП  Викторов С.А.</w:t>
            </w:r>
            <w:r w:rsidR="001A6EFA"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члены УИК (по согласованию)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EFA" w:rsidRPr="0040098D" w:rsidRDefault="001A6EFA" w:rsidP="004009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32F8" w:rsidRPr="0040098D" w:rsidRDefault="00D832F8" w:rsidP="00400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EFA" w:rsidRPr="0040098D" w:rsidRDefault="001A6EFA" w:rsidP="004009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A6EFA" w:rsidRPr="0040098D" w:rsidSect="00D8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D38"/>
    <w:rsid w:val="00030D53"/>
    <w:rsid w:val="001704C2"/>
    <w:rsid w:val="00192EAE"/>
    <w:rsid w:val="001A1590"/>
    <w:rsid w:val="001A6EFA"/>
    <w:rsid w:val="003C585F"/>
    <w:rsid w:val="003D6D38"/>
    <w:rsid w:val="0040098D"/>
    <w:rsid w:val="004E1675"/>
    <w:rsid w:val="004E30DA"/>
    <w:rsid w:val="00541E06"/>
    <w:rsid w:val="006A106C"/>
    <w:rsid w:val="007735A6"/>
    <w:rsid w:val="007B2276"/>
    <w:rsid w:val="007B2362"/>
    <w:rsid w:val="00857FF8"/>
    <w:rsid w:val="00A30563"/>
    <w:rsid w:val="00B42B12"/>
    <w:rsid w:val="00C86D59"/>
    <w:rsid w:val="00C972DB"/>
    <w:rsid w:val="00CB08D3"/>
    <w:rsid w:val="00CB78BB"/>
    <w:rsid w:val="00CF303B"/>
    <w:rsid w:val="00D832F8"/>
    <w:rsid w:val="00D9302D"/>
    <w:rsid w:val="00EB2B6C"/>
    <w:rsid w:val="00F11D22"/>
    <w:rsid w:val="00F17458"/>
    <w:rsid w:val="00FD02DB"/>
    <w:rsid w:val="00F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F8"/>
  </w:style>
  <w:style w:type="paragraph" w:styleId="1">
    <w:name w:val="heading 1"/>
    <w:basedOn w:val="a"/>
    <w:link w:val="10"/>
    <w:uiPriority w:val="9"/>
    <w:qFormat/>
    <w:rsid w:val="003D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D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6D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6D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D6D38"/>
    <w:rPr>
      <w:color w:val="0000FF"/>
      <w:u w:val="single"/>
    </w:rPr>
  </w:style>
  <w:style w:type="character" w:customStyle="1" w:styleId="meta-nav">
    <w:name w:val="meta-nav"/>
    <w:basedOn w:val="a0"/>
    <w:rsid w:val="001A6EFA"/>
  </w:style>
  <w:style w:type="paragraph" w:styleId="a7">
    <w:name w:val="Balloon Text"/>
    <w:basedOn w:val="a"/>
    <w:link w:val="a8"/>
    <w:uiPriority w:val="99"/>
    <w:semiHidden/>
    <w:unhideWhenUsed/>
    <w:rsid w:val="006A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854"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0B01DC2C9A58A59B46C16478C3F5BCAA806F5DCE3A72BDEFF6F630E54403iAJFG" TargetMode="External"/><Relationship Id="rId13" Type="http://schemas.openxmlformats.org/officeDocument/2006/relationships/hyperlink" Target="consultantplus://offline/ref=EA240B01DC2C9A58A59B58CC72149DF0BAA7DB6259CD3522E6B0ADAB67iEJCG" TargetMode="External"/><Relationship Id="rId18" Type="http://schemas.openxmlformats.org/officeDocument/2006/relationships/hyperlink" Target="consultantplus://offline/ref=EA240B01DC2C9A58A59B58CC72149DF0BAA7DB6259CD3522E6B0ADAB67iEJC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A240B01DC2C9A58A59B58CC72149DF0BAA7DB6259CD3522E6B0ADAB67iEJCG" TargetMode="External"/><Relationship Id="rId12" Type="http://schemas.openxmlformats.org/officeDocument/2006/relationships/hyperlink" Target="consultantplus://offline/ref=EA240B01DC2C9A58A59B46C276149DF0BAA7DA6B5ACB3522E6B0ADAB67iEJCG" TargetMode="External"/><Relationship Id="rId17" Type="http://schemas.openxmlformats.org/officeDocument/2006/relationships/hyperlink" Target="consultantplus://offline/ref=EA240B01DC2C9A58A59B46C276149DF0BAA7DA6B5ACB3522E6B0ADAB67iEJ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240B01DC2C9A58A59B46C276149DF0BAA7DB6B5EC23522E6B0ADAB67EC4E54E82BA1D7iFJ2G" TargetMode="External"/><Relationship Id="rId20" Type="http://schemas.openxmlformats.org/officeDocument/2006/relationships/hyperlink" Target="http://xn--b1aajtdrbac2a8e.xn--p1ai/postanovlenie-ot-19-yanvarya-2017-g-42-o-sozdanii-antiterroristicheskoj-komissii-na-territorii-voloshovskogo-selskogo-poseleniya-ob-utverzhdenii-sostava-polozheniya-reglamenta-antiterroris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40B01DC2C9A58A59B46C276149DF0BAA7DA6B5ACB3522E6B0ADAB67iEJCG" TargetMode="External"/><Relationship Id="rId11" Type="http://schemas.openxmlformats.org/officeDocument/2006/relationships/hyperlink" Target="consultantplus://offline/ref=EA240B01DC2C9A58A59B46C276149DF0BAA7DB6B5EC23522E6B0ADAB67EC4E54E82BA1D7iFJ2G" TargetMode="External"/><Relationship Id="rId5" Type="http://schemas.openxmlformats.org/officeDocument/2006/relationships/hyperlink" Target="consultantplus://offline/ref=EA240B01DC2C9A58A59B46C276149DF0BAA7DB6B5EC23522E6B0ADAB67EC4E54E82BA1D7iFJ2G" TargetMode="External"/><Relationship Id="rId15" Type="http://schemas.openxmlformats.org/officeDocument/2006/relationships/hyperlink" Target="http://xn--b1aajtdrbac2a8e.xn--p1ai/postanovlenie-ot-19-yanvarya-2017-g-42-o-sozdanii-antiterroristicheskoj-komissii-na-territorii-voloshovskogo-selskogo-poseleniya-ob-utverzhdenii-sostava-polozheniya-reglamenta-antiterroris/" TargetMode="External"/><Relationship Id="rId10" Type="http://schemas.openxmlformats.org/officeDocument/2006/relationships/hyperlink" Target="http://xn--b1aajtdrbac2a8e.xn--p1ai/postanovlenie-ot-19-yanvarya-2017-g-42-o-sozdanii-antiterroristicheskoj-komissii-na-territorii-voloshovskogo-selskogo-poseleniya-ob-utverzhdenii-sostava-polozheniya-reglamenta-antiterroris/" TargetMode="External"/><Relationship Id="rId19" Type="http://schemas.openxmlformats.org/officeDocument/2006/relationships/hyperlink" Target="http://xn--b1aajtdrbac2a8e.xn--p1ai/postanovlenie-ot-19-yanvarya-2017-g-42-o-sozdanii-antiterroristicheskoj-komissii-na-territorii-voloshovskogo-selskogo-poseleniya-ob-utverzhdenii-sostava-polozheniya-reglamenta-antiterrori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xn--b1aajtdrbac2a8e.xn--p1ai/postanovlenie-ot-19-yanvarya-2017-g-42-o-sozdanii-antiterroristicheskoj-komissii-na-territorii-voloshovskogo-selskogo-poseleniya-ob-utverzhdenii-sostava-polozheniya-reglamenta-antiterroris/" TargetMode="External"/><Relationship Id="rId14" Type="http://schemas.openxmlformats.org/officeDocument/2006/relationships/hyperlink" Target="consultantplus://offline/ref=EA240B01DC2C9A58A59B46C276149DF0B9A9D967529C6220B7E5A3iAJ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17</cp:revision>
  <cp:lastPrinted>2020-07-13T04:22:00Z</cp:lastPrinted>
  <dcterms:created xsi:type="dcterms:W3CDTF">2020-06-09T05:20:00Z</dcterms:created>
  <dcterms:modified xsi:type="dcterms:W3CDTF">2020-07-21T11:17:00Z</dcterms:modified>
</cp:coreProperties>
</file>